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  <w:bookmarkStart w:id="0" w:name="_GoBack"/>
      <w:bookmarkEnd w:id="0"/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E11BAE" w:rsidRPr="00B53327" w:rsidRDefault="00E11BAE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E11BAE" w:rsidRPr="00B53327" w:rsidRDefault="00E11BA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E11BAE" w:rsidRDefault="00AB1D4A" w:rsidP="00E11BAE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E11BA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F5282" w:rsidRPr="00E11BA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proofErr w:type="gramStart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</w:t>
      </w:r>
      <w:proofErr w:type="gramEnd"/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Pokud ano, uvést nový způsob užívání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 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…..…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Návrh úpravy pozemku po jejím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</w:t>
      </w:r>
      <w:proofErr w:type="gramStart"/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</w:t>
      </w:r>
      <w:proofErr w:type="gramEnd"/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proofErr w:type="gramStart"/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  <w:proofErr w:type="gramEnd"/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</w:t>
      </w:r>
      <w:proofErr w:type="gramStart"/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  <w:proofErr w:type="gramEnd"/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B2A5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B2A5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B2A5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954A9" w:rsidRDefault="006954A9" w:rsidP="00FC7A79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headerReference w:type="default" r:id="rId9"/>
      <w:footerReference w:type="default" r:id="rId10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5A" w:rsidRDefault="008B2A5A" w:rsidP="00165DCC">
      <w:pPr>
        <w:spacing w:after="0" w:line="240" w:lineRule="auto"/>
      </w:pPr>
      <w:r>
        <w:separator/>
      </w:r>
    </w:p>
  </w:endnote>
  <w:endnote w:type="continuationSeparator" w:id="0">
    <w:p w:rsidR="008B2A5A" w:rsidRDefault="008B2A5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8B2A5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E16E8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5A" w:rsidRDefault="008B2A5A" w:rsidP="00165DCC">
      <w:pPr>
        <w:spacing w:after="0" w:line="240" w:lineRule="auto"/>
      </w:pPr>
      <w:r>
        <w:separator/>
      </w:r>
    </w:p>
  </w:footnote>
  <w:footnote w:type="continuationSeparator" w:id="0">
    <w:p w:rsidR="008B2A5A" w:rsidRDefault="008B2A5A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AE" w:rsidRDefault="00E11BAE" w:rsidP="00E11B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-145415</wp:posOffset>
          </wp:positionV>
          <wp:extent cx="632460" cy="776605"/>
          <wp:effectExtent l="0" t="0" r="0" b="4445"/>
          <wp:wrapNone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</w:rPr>
      <w:t>STAVEBNÍ ÚŘAD ČERNILOV</w:t>
    </w:r>
  </w:p>
  <w:p w:rsidR="00E11BAE" w:rsidRDefault="00E11BAE" w:rsidP="00E11B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ČERNILOV 310</w:t>
    </w:r>
  </w:p>
  <w:p w:rsidR="00E11BAE" w:rsidRDefault="00E11BAE" w:rsidP="00E11BA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503 43 ČERNILOV</w:t>
    </w:r>
  </w:p>
  <w:p w:rsidR="006E16E8" w:rsidRDefault="006E16E8" w:rsidP="006E16E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b/>
        <w:sz w:val="20"/>
        <w:szCs w:val="20"/>
      </w:rPr>
      <w:t xml:space="preserve">Příloha č. </w:t>
    </w:r>
    <w:r>
      <w:rPr>
        <w:rFonts w:ascii="Times New Roman" w:eastAsia="Times New Roman" w:hAnsi="Times New Roman"/>
        <w:b/>
        <w:sz w:val="20"/>
        <w:szCs w:val="20"/>
      </w:rPr>
      <w:t>6</w:t>
    </w:r>
    <w:r>
      <w:rPr>
        <w:rFonts w:ascii="Times New Roman" w:eastAsia="Times New Roman" w:hAnsi="Times New Roman"/>
        <w:b/>
        <w:sz w:val="20"/>
        <w:szCs w:val="20"/>
      </w:rPr>
      <w:t xml:space="preserve"> k vyhlášce č. 503/2006 Sb</w:t>
    </w:r>
    <w:r>
      <w:rPr>
        <w:rFonts w:ascii="Times New Roman" w:eastAsia="Times New Roman" w:hAnsi="Times New Roman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6E8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2A5A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9F3E3A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551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BAE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A79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9E7C-5B6A-4EFB-899A-075C7CE4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3511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Lenka Kupkova</cp:lastModifiedBy>
  <cp:revision>8</cp:revision>
  <cp:lastPrinted>2018-05-18T11:39:00Z</cp:lastPrinted>
  <dcterms:created xsi:type="dcterms:W3CDTF">2018-05-18T11:39:00Z</dcterms:created>
  <dcterms:modified xsi:type="dcterms:W3CDTF">2018-07-04T09:11:00Z</dcterms:modified>
</cp:coreProperties>
</file>